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830" w:rsidRPr="00161830" w:rsidRDefault="00161830" w:rsidP="00161830">
      <w:pPr>
        <w:spacing w:after="100" w:line="240" w:lineRule="auto"/>
        <w:ind w:left="3084"/>
        <w:outlineLvl w:val="1"/>
        <w:rPr>
          <w:rFonts w:ascii="Tahoma" w:eastAsia="Times New Roman" w:hAnsi="Tahoma" w:cs="Tahoma"/>
          <w:color w:val="00456A"/>
          <w:kern w:val="36"/>
          <w:sz w:val="33"/>
          <w:szCs w:val="33"/>
        </w:rPr>
      </w:pPr>
      <w:r w:rsidRPr="00161830">
        <w:rPr>
          <w:rFonts w:ascii="Tahoma" w:eastAsia="Times New Roman" w:hAnsi="Tahoma" w:cs="Tahoma"/>
          <w:color w:val="00456A"/>
          <w:kern w:val="36"/>
          <w:sz w:val="33"/>
          <w:szCs w:val="33"/>
        </w:rPr>
        <w:t>HIPAA Forms and Links</w:t>
      </w:r>
    </w:p>
    <w:p w:rsidR="00161830" w:rsidRDefault="00161830" w:rsidP="00161830">
      <w:pPr>
        <w:spacing w:after="0" w:line="240" w:lineRule="auto"/>
        <w:rPr>
          <w:rFonts w:ascii="Arial" w:eastAsia="Times New Roman" w:hAnsi="Arial" w:cs="Arial"/>
          <w:color w:val="666666"/>
          <w:sz w:val="15"/>
          <w:szCs w:val="15"/>
        </w:rPr>
      </w:pPr>
    </w:p>
    <w:p w:rsidR="00161830" w:rsidRPr="00161830" w:rsidRDefault="00161830" w:rsidP="00161830">
      <w:pPr>
        <w:spacing w:after="0" w:line="240" w:lineRule="auto"/>
        <w:rPr>
          <w:rFonts w:ascii="Arial" w:eastAsia="Times New Roman" w:hAnsi="Arial" w:cs="Arial"/>
          <w:color w:val="666666"/>
          <w:sz w:val="15"/>
          <w:szCs w:val="15"/>
        </w:rPr>
      </w:pPr>
      <w:r>
        <w:rPr>
          <w:rFonts w:ascii="Arial" w:eastAsia="Times New Roman" w:hAnsi="Arial" w:cs="Arial"/>
          <w:color w:val="666666"/>
          <w:sz w:val="15"/>
          <w:szCs w:val="15"/>
        </w:rPr>
        <w:t>MSDS</w:t>
      </w:r>
      <w:r w:rsidRPr="00161830">
        <w:rPr>
          <w:rFonts w:ascii="Arial" w:eastAsia="Times New Roman" w:hAnsi="Arial" w:cs="Arial"/>
          <w:color w:val="666666"/>
          <w:sz w:val="15"/>
          <w:szCs w:val="15"/>
        </w:rPr>
        <w:t xml:space="preserve"> offers the following forms and checklists for your use in complying with the requirements of the Health Insurance Portability and Accountability Act of 1996 (HIPAA) . The standards for Privacy of Individually Identifiable Health Information (the Privacy Rule) took effect on April 14, 2001. The Health Information Technology for Economic and Clinical Health Act (HITECH) which was enacted as part of the American Recovery and Reinvestment Act in 2009 requires notification of certain breaches of unsecured Protected Health Information (PHI). </w:t>
      </w:r>
      <w:r w:rsidRPr="00161830">
        <w:rPr>
          <w:rFonts w:ascii="Arial" w:eastAsia="Times New Roman" w:hAnsi="Arial" w:cs="Arial"/>
          <w:color w:val="666666"/>
          <w:sz w:val="15"/>
          <w:szCs w:val="15"/>
        </w:rPr>
        <w:br/>
      </w:r>
      <w:r w:rsidRPr="00161830">
        <w:rPr>
          <w:rFonts w:ascii="Arial" w:eastAsia="Times New Roman" w:hAnsi="Arial" w:cs="Arial"/>
          <w:color w:val="666666"/>
          <w:sz w:val="15"/>
          <w:szCs w:val="15"/>
        </w:rPr>
        <w:br/>
        <w:t xml:space="preserve">These document are provided as general guidance and do not constitute legal advice. These forms and information are intended to supplement or provide alternatives to consider with respect to the overall HIPAA compliance program you have selected to guide your compliance efforts. </w:t>
      </w:r>
      <w:r w:rsidRPr="00161830">
        <w:rPr>
          <w:rFonts w:ascii="Arial" w:eastAsia="Times New Roman" w:hAnsi="Arial" w:cs="Arial"/>
          <w:color w:val="666666"/>
          <w:sz w:val="15"/>
          <w:szCs w:val="15"/>
        </w:rPr>
        <w:br/>
      </w:r>
      <w:r w:rsidRPr="00161830">
        <w:rPr>
          <w:rFonts w:ascii="Arial" w:eastAsia="Times New Roman" w:hAnsi="Arial" w:cs="Arial"/>
          <w:color w:val="666666"/>
          <w:sz w:val="15"/>
          <w:szCs w:val="15"/>
        </w:rPr>
        <w:br/>
      </w:r>
      <w:r w:rsidRPr="00161830">
        <w:rPr>
          <w:rFonts w:ascii="Arial" w:eastAsia="Times New Roman" w:hAnsi="Arial" w:cs="Arial"/>
          <w:color w:val="2B0B67"/>
          <w:sz w:val="15"/>
          <w:u w:val="single"/>
        </w:rPr>
        <w:t xml:space="preserve">RESOURCE LINKS </w:t>
      </w:r>
      <w:r w:rsidRPr="00161830">
        <w:rPr>
          <w:rFonts w:ascii="Arial" w:eastAsia="Times New Roman" w:hAnsi="Arial" w:cs="Arial"/>
          <w:color w:val="2B0B67"/>
          <w:sz w:val="15"/>
          <w:szCs w:val="15"/>
          <w:u w:val="single"/>
        </w:rPr>
        <w:br/>
      </w:r>
      <w:r w:rsidRPr="00161830">
        <w:rPr>
          <w:rFonts w:ascii="Arial" w:eastAsia="Times New Roman" w:hAnsi="Arial" w:cs="Arial"/>
          <w:color w:val="666666"/>
          <w:sz w:val="15"/>
          <w:szCs w:val="15"/>
        </w:rPr>
        <w:br/>
      </w:r>
      <w:r w:rsidRPr="00161830">
        <w:rPr>
          <w:rFonts w:ascii="Arial" w:eastAsia="Times New Roman" w:hAnsi="Arial" w:cs="Arial"/>
          <w:color w:val="2B0B67"/>
          <w:sz w:val="15"/>
          <w:u w:val="single"/>
        </w:rPr>
        <w:t>NOTICE OF PRIVACY PRACTICES</w:t>
      </w:r>
      <w:r w:rsidRPr="00161830">
        <w:rPr>
          <w:rFonts w:ascii="Arial" w:eastAsia="Times New Roman" w:hAnsi="Arial" w:cs="Arial"/>
          <w:color w:val="666666"/>
          <w:sz w:val="15"/>
          <w:szCs w:val="15"/>
        </w:rPr>
        <w:t xml:space="preserve">. The Notice of Privacy Practices form should be modified to fit the actual privacy policies of your practice. A Notice of Privacy Practices must be distributed to all patients with whom you have a direct treatment relationship the first time that you see them after April 14, 2003. </w:t>
      </w:r>
      <w:r w:rsidRPr="00161830">
        <w:rPr>
          <w:rFonts w:ascii="Arial" w:eastAsia="Times New Roman" w:hAnsi="Arial" w:cs="Arial"/>
          <w:color w:val="666666"/>
          <w:sz w:val="15"/>
          <w:szCs w:val="15"/>
        </w:rPr>
        <w:br/>
      </w:r>
      <w:r w:rsidRPr="00161830">
        <w:rPr>
          <w:rFonts w:ascii="Arial" w:eastAsia="Times New Roman" w:hAnsi="Arial" w:cs="Arial"/>
          <w:color w:val="666666"/>
          <w:sz w:val="15"/>
          <w:szCs w:val="15"/>
        </w:rPr>
        <w:br/>
      </w:r>
      <w:hyperlink r:id="rId4" w:history="1">
        <w:r w:rsidRPr="00161830">
          <w:rPr>
            <w:rFonts w:ascii="Arial" w:eastAsia="Times New Roman" w:hAnsi="Arial" w:cs="Arial"/>
            <w:color w:val="2B0B67"/>
            <w:sz w:val="15"/>
            <w:u w:val="single"/>
          </w:rPr>
          <w:t>ACKNOWLEDGMENT AND GOOD FAITH</w:t>
        </w:r>
      </w:hyperlink>
      <w:r w:rsidRPr="00161830">
        <w:rPr>
          <w:rFonts w:ascii="Arial" w:eastAsia="Times New Roman" w:hAnsi="Arial" w:cs="Arial"/>
          <w:color w:val="666666"/>
          <w:sz w:val="15"/>
          <w:szCs w:val="15"/>
        </w:rPr>
        <w:t xml:space="preserve">. The Acknowledgment of Privacy Practices form may be used to satisfy the rule that requires you to make a good faith effort to obtain written acknowledgment that your patient has received your practice’s Notice of Privacy Practices. </w:t>
      </w:r>
      <w:r w:rsidRPr="00161830">
        <w:rPr>
          <w:rFonts w:ascii="Arial" w:eastAsia="Times New Roman" w:hAnsi="Arial" w:cs="Arial"/>
          <w:color w:val="666666"/>
          <w:sz w:val="15"/>
          <w:szCs w:val="15"/>
        </w:rPr>
        <w:br/>
      </w:r>
      <w:r w:rsidRPr="00161830">
        <w:rPr>
          <w:rFonts w:ascii="Arial" w:eastAsia="Times New Roman" w:hAnsi="Arial" w:cs="Arial"/>
          <w:color w:val="666666"/>
          <w:sz w:val="15"/>
          <w:szCs w:val="15"/>
        </w:rPr>
        <w:br/>
      </w:r>
      <w:hyperlink r:id="rId5" w:history="1">
        <w:r w:rsidRPr="00161830">
          <w:rPr>
            <w:rFonts w:ascii="Arial" w:eastAsia="Times New Roman" w:hAnsi="Arial" w:cs="Arial"/>
            <w:color w:val="2B0B67"/>
            <w:sz w:val="15"/>
            <w:u w:val="single"/>
          </w:rPr>
          <w:t>AUTHORIZATION</w:t>
        </w:r>
      </w:hyperlink>
      <w:r w:rsidRPr="00161830">
        <w:rPr>
          <w:rFonts w:ascii="Arial" w:eastAsia="Times New Roman" w:hAnsi="Arial" w:cs="Arial"/>
          <w:color w:val="666666"/>
          <w:sz w:val="15"/>
          <w:szCs w:val="15"/>
        </w:rPr>
        <w:t xml:space="preserve">. The Authorization form may be used when the rules require an Authorization to release protected health information. </w:t>
      </w:r>
      <w:r w:rsidRPr="00161830">
        <w:rPr>
          <w:rFonts w:ascii="Arial" w:eastAsia="Times New Roman" w:hAnsi="Arial" w:cs="Arial"/>
          <w:color w:val="666666"/>
          <w:sz w:val="15"/>
          <w:szCs w:val="15"/>
        </w:rPr>
        <w:br/>
      </w:r>
      <w:r w:rsidRPr="00161830">
        <w:rPr>
          <w:rFonts w:ascii="Arial" w:eastAsia="Times New Roman" w:hAnsi="Arial" w:cs="Arial"/>
          <w:color w:val="666666"/>
          <w:sz w:val="15"/>
          <w:szCs w:val="15"/>
        </w:rPr>
        <w:br/>
      </w:r>
      <w:hyperlink r:id="rId6" w:history="1">
        <w:r w:rsidRPr="00161830">
          <w:rPr>
            <w:rFonts w:ascii="Arial" w:eastAsia="Times New Roman" w:hAnsi="Arial" w:cs="Arial"/>
            <w:color w:val="2B0B67"/>
            <w:sz w:val="15"/>
            <w:u w:val="single"/>
          </w:rPr>
          <w:t>CHECKLIST FOR RESPONSE BY PROVIDERS RE: REQUESTS FOR ACCESS</w:t>
        </w:r>
      </w:hyperlink>
      <w:r w:rsidRPr="00161830">
        <w:rPr>
          <w:rFonts w:ascii="Arial" w:eastAsia="Times New Roman" w:hAnsi="Arial" w:cs="Arial"/>
          <w:color w:val="666666"/>
          <w:sz w:val="15"/>
          <w:szCs w:val="15"/>
        </w:rPr>
        <w:t xml:space="preserve">. This checklist may be used as a guide for implementing the patient’s right to access, inspect, and copy the designated record set. The HIPAA Privacy Rules grant patients the right to access, inspect, and copy the designated record set. The designated record set is the group of medical records and billing records about individuals maintained by or for a covered health care provider to make decisions about such individuals. </w:t>
      </w:r>
      <w:r w:rsidRPr="00161830">
        <w:rPr>
          <w:rFonts w:ascii="Arial" w:eastAsia="Times New Roman" w:hAnsi="Arial" w:cs="Arial"/>
          <w:color w:val="666666"/>
          <w:sz w:val="15"/>
          <w:szCs w:val="15"/>
        </w:rPr>
        <w:br/>
      </w:r>
      <w:r w:rsidRPr="00161830">
        <w:rPr>
          <w:rFonts w:ascii="Arial" w:eastAsia="Times New Roman" w:hAnsi="Arial" w:cs="Arial"/>
          <w:color w:val="666666"/>
          <w:sz w:val="15"/>
          <w:szCs w:val="15"/>
        </w:rPr>
        <w:br/>
      </w:r>
      <w:hyperlink r:id="rId7" w:history="1">
        <w:r w:rsidRPr="00161830">
          <w:rPr>
            <w:rFonts w:ascii="Arial" w:eastAsia="Times New Roman" w:hAnsi="Arial" w:cs="Arial"/>
            <w:color w:val="2B0B67"/>
            <w:sz w:val="15"/>
            <w:u w:val="single"/>
          </w:rPr>
          <w:t>CHECKLIST FOR RESPONSE BY PROVIDERS RE: REQUEST TO AMEND</w:t>
        </w:r>
      </w:hyperlink>
      <w:r w:rsidRPr="00161830">
        <w:rPr>
          <w:rFonts w:ascii="Arial" w:eastAsia="Times New Roman" w:hAnsi="Arial" w:cs="Arial"/>
          <w:color w:val="666666"/>
          <w:sz w:val="15"/>
          <w:szCs w:val="15"/>
        </w:rPr>
        <w:t xml:space="preserve">. This checklist may be used as a guide for implementing the patient’s right to request amendments to their own protected health information. </w:t>
      </w:r>
      <w:r w:rsidRPr="00161830">
        <w:rPr>
          <w:rFonts w:ascii="Arial" w:eastAsia="Times New Roman" w:hAnsi="Arial" w:cs="Arial"/>
          <w:color w:val="666666"/>
          <w:sz w:val="15"/>
          <w:szCs w:val="15"/>
        </w:rPr>
        <w:br/>
      </w:r>
      <w:r w:rsidRPr="00161830">
        <w:rPr>
          <w:rFonts w:ascii="Arial" w:eastAsia="Times New Roman" w:hAnsi="Arial" w:cs="Arial"/>
          <w:color w:val="666666"/>
          <w:sz w:val="15"/>
          <w:szCs w:val="15"/>
        </w:rPr>
        <w:br/>
      </w:r>
      <w:hyperlink r:id="rId8" w:history="1">
        <w:r w:rsidRPr="00161830">
          <w:rPr>
            <w:rFonts w:ascii="Arial" w:eastAsia="Times New Roman" w:hAnsi="Arial" w:cs="Arial"/>
            <w:color w:val="2B0B67"/>
            <w:sz w:val="15"/>
            <w:u w:val="single"/>
          </w:rPr>
          <w:t>SAMPLE LETTER DENYING REQUEST TO AMEND</w:t>
        </w:r>
      </w:hyperlink>
      <w:r w:rsidRPr="00161830">
        <w:rPr>
          <w:rFonts w:ascii="Arial" w:eastAsia="Times New Roman" w:hAnsi="Arial" w:cs="Arial"/>
          <w:color w:val="666666"/>
          <w:sz w:val="15"/>
          <w:szCs w:val="15"/>
        </w:rPr>
        <w:t xml:space="preserve">. This sample letter may be used to deny a patient’s request to amend their protected health information. </w:t>
      </w:r>
    </w:p>
    <w:p w:rsidR="00161830" w:rsidRPr="00161830" w:rsidRDefault="00161830" w:rsidP="00161830">
      <w:pPr>
        <w:spacing w:after="0" w:line="240" w:lineRule="auto"/>
        <w:rPr>
          <w:rFonts w:ascii="Arial" w:eastAsia="Times New Roman" w:hAnsi="Arial" w:cs="Arial"/>
          <w:color w:val="666666"/>
          <w:sz w:val="15"/>
          <w:szCs w:val="15"/>
        </w:rPr>
      </w:pPr>
      <w:r w:rsidRPr="00161830">
        <w:rPr>
          <w:rFonts w:ascii="Arial" w:eastAsia="Times New Roman" w:hAnsi="Arial" w:cs="Arial"/>
          <w:color w:val="666666"/>
          <w:sz w:val="15"/>
          <w:szCs w:val="15"/>
        </w:rPr>
        <w:br/>
      </w:r>
      <w:hyperlink r:id="rId9" w:history="1">
        <w:r w:rsidRPr="00161830">
          <w:rPr>
            <w:rFonts w:ascii="Arial" w:eastAsia="Times New Roman" w:hAnsi="Arial" w:cs="Arial"/>
            <w:color w:val="2B0B67"/>
            <w:sz w:val="15"/>
            <w:u w:val="single"/>
          </w:rPr>
          <w:t>AMENDMENT TO BUSINESS ASSOCIATE AGREEMENT</w:t>
        </w:r>
      </w:hyperlink>
      <w:r w:rsidRPr="00161830">
        <w:rPr>
          <w:rFonts w:ascii="Arial" w:eastAsia="Times New Roman" w:hAnsi="Arial" w:cs="Arial"/>
          <w:color w:val="666666"/>
          <w:sz w:val="15"/>
          <w:szCs w:val="15"/>
        </w:rPr>
        <w:t xml:space="preserve"> [2002 version] to address HITECH. This amendment may be used to incorporate the requirements of the HITECH Act. </w:t>
      </w:r>
    </w:p>
    <w:p w:rsidR="00161830" w:rsidRPr="00161830" w:rsidRDefault="00161830" w:rsidP="00161830">
      <w:pPr>
        <w:spacing w:after="0" w:line="240" w:lineRule="auto"/>
        <w:rPr>
          <w:rFonts w:ascii="Arial" w:eastAsia="Times New Roman" w:hAnsi="Arial" w:cs="Arial"/>
          <w:color w:val="666666"/>
          <w:sz w:val="15"/>
          <w:szCs w:val="15"/>
        </w:rPr>
      </w:pPr>
    </w:p>
    <w:p w:rsidR="00161830" w:rsidRPr="00161830" w:rsidRDefault="00161830" w:rsidP="00161830">
      <w:pPr>
        <w:spacing w:after="240" w:line="240" w:lineRule="auto"/>
        <w:rPr>
          <w:rFonts w:ascii="Arial" w:eastAsia="Times New Roman" w:hAnsi="Arial" w:cs="Arial"/>
          <w:color w:val="666666"/>
          <w:sz w:val="15"/>
          <w:szCs w:val="15"/>
        </w:rPr>
      </w:pPr>
      <w:hyperlink r:id="rId10" w:history="1">
        <w:r w:rsidRPr="00161830">
          <w:rPr>
            <w:rFonts w:ascii="Arial" w:eastAsia="Times New Roman" w:hAnsi="Arial" w:cs="Arial"/>
            <w:color w:val="2B0B67"/>
            <w:sz w:val="15"/>
            <w:u w:val="single"/>
          </w:rPr>
          <w:t>BUSINESS ASSOCIATE AGREEMENT</w:t>
        </w:r>
      </w:hyperlink>
      <w:r w:rsidRPr="00161830">
        <w:rPr>
          <w:rFonts w:ascii="Arial" w:eastAsia="Times New Roman" w:hAnsi="Arial" w:cs="Arial"/>
          <w:color w:val="666666"/>
          <w:sz w:val="15"/>
          <w:szCs w:val="15"/>
        </w:rPr>
        <w:t xml:space="preserve"> (Revised June 2010 to incorporate requirements of HITECH Act). This Business Associate Contract template closely follows the Business Associate Agreement recommended by the Department of Health and Human Services and may be used to implement the requirement that covered health care providers obtain written satisfactory assurances from their business associates. </w:t>
      </w:r>
      <w:r w:rsidRPr="00161830">
        <w:rPr>
          <w:rFonts w:ascii="Arial" w:eastAsia="Times New Roman" w:hAnsi="Arial" w:cs="Arial"/>
          <w:color w:val="666666"/>
          <w:sz w:val="15"/>
          <w:szCs w:val="15"/>
        </w:rPr>
        <w:br/>
      </w:r>
      <w:r w:rsidRPr="00161830">
        <w:rPr>
          <w:rFonts w:ascii="Arial" w:eastAsia="Times New Roman" w:hAnsi="Arial" w:cs="Arial"/>
          <w:i/>
          <w:iCs/>
          <w:color w:val="666666"/>
          <w:sz w:val="15"/>
        </w:rPr>
        <w:t>We acknowledge the assistance and contributions of the law firm of Miles and Peters in the development of this document.</w:t>
      </w:r>
    </w:p>
    <w:p w:rsidR="00800705" w:rsidRDefault="00161830" w:rsidP="00161830">
      <w:r w:rsidRPr="00161830">
        <w:rPr>
          <w:rFonts w:ascii="Arial" w:eastAsia="Times New Roman" w:hAnsi="Arial" w:cs="Arial"/>
          <w:color w:val="666666"/>
          <w:sz w:val="15"/>
          <w:szCs w:val="15"/>
        </w:rPr>
        <w:br w:type="textWrapping" w:clear="all"/>
      </w:r>
    </w:p>
    <w:sectPr w:rsidR="00800705" w:rsidSect="008007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161830"/>
    <w:rsid w:val="00117EAF"/>
    <w:rsid w:val="00161830"/>
    <w:rsid w:val="003E0B5F"/>
    <w:rsid w:val="007C4F90"/>
    <w:rsid w:val="00800705"/>
    <w:rsid w:val="00830043"/>
    <w:rsid w:val="008F70AE"/>
    <w:rsid w:val="00EE0742"/>
    <w:rsid w:val="00F834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7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1830"/>
    <w:rPr>
      <w:color w:val="2B0B67"/>
      <w:u w:val="single"/>
    </w:rPr>
  </w:style>
  <w:style w:type="character" w:styleId="Emphasis">
    <w:name w:val="Emphasis"/>
    <w:basedOn w:val="DefaultParagraphFont"/>
    <w:uiPriority w:val="20"/>
    <w:qFormat/>
    <w:rsid w:val="00161830"/>
    <w:rPr>
      <w:i/>
      <w:iCs/>
    </w:rPr>
  </w:style>
</w:styles>
</file>

<file path=word/webSettings.xml><?xml version="1.0" encoding="utf-8"?>
<w:webSettings xmlns:r="http://schemas.openxmlformats.org/officeDocument/2006/relationships" xmlns:w="http://schemas.openxmlformats.org/wordprocessingml/2006/main">
  <w:divs>
    <w:div w:id="45840364">
      <w:bodyDiv w:val="1"/>
      <w:marLeft w:val="0"/>
      <w:marRight w:val="0"/>
      <w:marTop w:val="100"/>
      <w:marBottom w:val="100"/>
      <w:divBdr>
        <w:top w:val="none" w:sz="0" w:space="0" w:color="auto"/>
        <w:left w:val="none" w:sz="0" w:space="0" w:color="auto"/>
        <w:bottom w:val="none" w:sz="0" w:space="0" w:color="auto"/>
        <w:right w:val="none" w:sz="0" w:space="0" w:color="auto"/>
      </w:divBdr>
      <w:divsChild>
        <w:div w:id="663171679">
          <w:marLeft w:val="0"/>
          <w:marRight w:val="0"/>
          <w:marTop w:val="100"/>
          <w:marBottom w:val="100"/>
          <w:divBdr>
            <w:top w:val="none" w:sz="0" w:space="0" w:color="auto"/>
            <w:left w:val="none" w:sz="0" w:space="0" w:color="auto"/>
            <w:bottom w:val="none" w:sz="0" w:space="0" w:color="auto"/>
            <w:right w:val="none" w:sz="0" w:space="0" w:color="auto"/>
          </w:divBdr>
          <w:divsChild>
            <w:div w:id="1869489205">
              <w:marLeft w:val="0"/>
              <w:marRight w:val="0"/>
              <w:marTop w:val="747"/>
              <w:marBottom w:val="0"/>
              <w:divBdr>
                <w:top w:val="none" w:sz="0" w:space="0" w:color="auto"/>
                <w:left w:val="none" w:sz="0" w:space="0" w:color="auto"/>
                <w:bottom w:val="none" w:sz="0" w:space="0" w:color="auto"/>
                <w:right w:val="none" w:sz="0" w:space="0" w:color="auto"/>
              </w:divBdr>
              <w:divsChild>
                <w:div w:id="53238993">
                  <w:marLeft w:val="0"/>
                  <w:marRight w:val="0"/>
                  <w:marTop w:val="0"/>
                  <w:marBottom w:val="0"/>
                  <w:divBdr>
                    <w:top w:val="none" w:sz="0" w:space="0" w:color="auto"/>
                    <w:left w:val="none" w:sz="0" w:space="0" w:color="auto"/>
                    <w:bottom w:val="none" w:sz="0" w:space="0" w:color="auto"/>
                    <w:right w:val="none" w:sz="0" w:space="0" w:color="auto"/>
                  </w:divBdr>
                  <w:divsChild>
                    <w:div w:id="246693719">
                      <w:marLeft w:val="0"/>
                      <w:marRight w:val="0"/>
                      <w:marTop w:val="0"/>
                      <w:marBottom w:val="0"/>
                      <w:divBdr>
                        <w:top w:val="none" w:sz="0" w:space="0" w:color="auto"/>
                        <w:left w:val="none" w:sz="0" w:space="0" w:color="auto"/>
                        <w:bottom w:val="none" w:sz="0" w:space="0" w:color="auto"/>
                        <w:right w:val="none" w:sz="0" w:space="0" w:color="auto"/>
                      </w:divBdr>
                      <w:divsChild>
                        <w:div w:id="779648773">
                          <w:marLeft w:val="136"/>
                          <w:marRight w:val="136"/>
                          <w:marTop w:val="136"/>
                          <w:marBottom w:val="0"/>
                          <w:divBdr>
                            <w:top w:val="none" w:sz="0" w:space="0" w:color="auto"/>
                            <w:left w:val="none" w:sz="0" w:space="0" w:color="auto"/>
                            <w:bottom w:val="none" w:sz="0" w:space="0" w:color="auto"/>
                            <w:right w:val="none" w:sz="0" w:space="0" w:color="auto"/>
                          </w:divBdr>
                          <w:divsChild>
                            <w:div w:id="439574070">
                              <w:marLeft w:val="0"/>
                              <w:marRight w:val="0"/>
                              <w:marTop w:val="0"/>
                              <w:marBottom w:val="0"/>
                              <w:divBdr>
                                <w:top w:val="none" w:sz="0" w:space="0" w:color="auto"/>
                                <w:left w:val="none" w:sz="0" w:space="0" w:color="auto"/>
                                <w:bottom w:val="none" w:sz="0" w:space="0" w:color="auto"/>
                                <w:right w:val="none" w:sz="0" w:space="0" w:color="auto"/>
                              </w:divBdr>
                            </w:div>
                            <w:div w:id="1395815782">
                              <w:marLeft w:val="0"/>
                              <w:marRight w:val="0"/>
                              <w:marTop w:val="0"/>
                              <w:marBottom w:val="0"/>
                              <w:divBdr>
                                <w:top w:val="none" w:sz="0" w:space="0" w:color="auto"/>
                                <w:left w:val="none" w:sz="0" w:space="0" w:color="auto"/>
                                <w:bottom w:val="none" w:sz="0" w:space="0" w:color="auto"/>
                                <w:right w:val="none" w:sz="0" w:space="0" w:color="auto"/>
                              </w:divBdr>
                            </w:div>
                            <w:div w:id="8605194">
                              <w:marLeft w:val="0"/>
                              <w:marRight w:val="0"/>
                              <w:marTop w:val="0"/>
                              <w:marBottom w:val="0"/>
                              <w:divBdr>
                                <w:top w:val="none" w:sz="0" w:space="0" w:color="auto"/>
                                <w:left w:val="none" w:sz="0" w:space="0" w:color="auto"/>
                                <w:bottom w:val="none" w:sz="0" w:space="0" w:color="auto"/>
                                <w:right w:val="none" w:sz="0" w:space="0" w:color="auto"/>
                              </w:divBdr>
                            </w:div>
                            <w:div w:id="213019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8600292">
      <w:bodyDiv w:val="1"/>
      <w:marLeft w:val="0"/>
      <w:marRight w:val="0"/>
      <w:marTop w:val="100"/>
      <w:marBottom w:val="100"/>
      <w:divBdr>
        <w:top w:val="none" w:sz="0" w:space="0" w:color="auto"/>
        <w:left w:val="none" w:sz="0" w:space="0" w:color="auto"/>
        <w:bottom w:val="none" w:sz="0" w:space="0" w:color="auto"/>
        <w:right w:val="none" w:sz="0" w:space="0" w:color="auto"/>
      </w:divBdr>
      <w:divsChild>
        <w:div w:id="1126661000">
          <w:marLeft w:val="0"/>
          <w:marRight w:val="0"/>
          <w:marTop w:val="100"/>
          <w:marBottom w:val="100"/>
          <w:divBdr>
            <w:top w:val="none" w:sz="0" w:space="0" w:color="auto"/>
            <w:left w:val="none" w:sz="0" w:space="0" w:color="auto"/>
            <w:bottom w:val="none" w:sz="0" w:space="0" w:color="auto"/>
            <w:right w:val="none" w:sz="0" w:space="0" w:color="auto"/>
          </w:divBdr>
          <w:divsChild>
            <w:div w:id="1714302994">
              <w:marLeft w:val="2812"/>
              <w:marRight w:val="0"/>
              <w:marTop w:val="353"/>
              <w:marBottom w:val="0"/>
              <w:divBdr>
                <w:top w:val="none" w:sz="0" w:space="0" w:color="auto"/>
                <w:left w:val="none" w:sz="0" w:space="0" w:color="auto"/>
                <w:bottom w:val="none" w:sz="0" w:space="0" w:color="auto"/>
                <w:right w:val="none" w:sz="0" w:space="0" w:color="auto"/>
              </w:divBdr>
              <w:divsChild>
                <w:div w:id="31476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llcopic.com/resources/custom/MSWord/hipaa/J-07%20Request%20to%20Amend%20Denial%20Letter.doc" TargetMode="External"/><Relationship Id="rId3" Type="http://schemas.openxmlformats.org/officeDocument/2006/relationships/webSettings" Target="webSettings.xml"/><Relationship Id="rId7" Type="http://schemas.openxmlformats.org/officeDocument/2006/relationships/hyperlink" Target="http://www.callcopic.com/resources/custom/MSWord/hipaa/J-05%20Request%20to%20Amend%20PHI%20Checklist.do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llcopic.com/resources/custom/MSWord/hipaa/J-04%20Request%20for%20Access%20Checklist.doc" TargetMode="External"/><Relationship Id="rId11" Type="http://schemas.openxmlformats.org/officeDocument/2006/relationships/fontTable" Target="fontTable.xml"/><Relationship Id="rId5" Type="http://schemas.openxmlformats.org/officeDocument/2006/relationships/hyperlink" Target="http://www.callcopic.com/resources/custom/MSWord/hipaa/H-02%20Authorization%20for%20Release%20of%20Info.doc" TargetMode="External"/><Relationship Id="rId10" Type="http://schemas.openxmlformats.org/officeDocument/2006/relationships/hyperlink" Target="http://www.callcopic.com/resources/custom/MSWord/hipaa/business-associate-agreement.doc" TargetMode="External"/><Relationship Id="rId4" Type="http://schemas.openxmlformats.org/officeDocument/2006/relationships/hyperlink" Target="http://www.callcopic.com/resources/custom/MSWord/hipaa/F-05%20&amp;%2006%20Acknowledgement%20of%20Receipt%20of%20Privacy%20Notice%20%20Good%20Faith%20Efforts.doc" TargetMode="External"/><Relationship Id="rId9" Type="http://schemas.openxmlformats.org/officeDocument/2006/relationships/hyperlink" Target="http://www.callcopic.com/resources/custom/MSWord/hipaa/HITECH%20Amendment%20to%202002%20Version%201%20BA%20Agreement.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595</Words>
  <Characters>3392</Characters>
  <Application>Microsoft Office Word</Application>
  <DocSecurity>0</DocSecurity>
  <Lines>28</Lines>
  <Paragraphs>7</Paragraphs>
  <ScaleCrop>false</ScaleCrop>
  <Company>Hewlett-Packard</Company>
  <LinksUpToDate>false</LinksUpToDate>
  <CharactersWithSpaces>3980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L Cannon</dc:creator>
  <cp:lastModifiedBy>Linda L Cannon</cp:lastModifiedBy>
  <cp:revision>2</cp:revision>
  <dcterms:created xsi:type="dcterms:W3CDTF">2010-11-03T03:33:00Z</dcterms:created>
  <dcterms:modified xsi:type="dcterms:W3CDTF">2010-11-03T03:33:00Z</dcterms:modified>
</cp:coreProperties>
</file>